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0D1421">
        <w:rPr>
          <w:rFonts w:asciiTheme="majorHAnsi" w:hAnsiTheme="majorHAnsi" w:cs="Times New Roman"/>
          <w:b/>
          <w:bCs/>
          <w:sz w:val="22"/>
          <w:szCs w:val="22"/>
        </w:rPr>
        <w:t>KOMMISJONENS DELEGERTE FORORDNING (EU) Nr. 157/2014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0D1421">
        <w:rPr>
          <w:rFonts w:asciiTheme="majorHAnsi" w:hAnsiTheme="majorHAnsi" w:cs="Times New Roman"/>
          <w:b/>
          <w:bCs/>
          <w:sz w:val="22"/>
          <w:szCs w:val="22"/>
        </w:rPr>
        <w:t>av 30. oktober 2013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0D1421">
        <w:rPr>
          <w:rFonts w:asciiTheme="majorHAnsi" w:hAnsiTheme="majorHAnsi" w:cs="Times New Roman"/>
          <w:b/>
          <w:bCs/>
          <w:sz w:val="22"/>
          <w:szCs w:val="22"/>
        </w:rPr>
        <w:t xml:space="preserve">om </w:t>
      </w:r>
      <w:bookmarkStart w:id="0" w:name="_GoBack"/>
      <w:r w:rsidRPr="000D1421">
        <w:rPr>
          <w:rFonts w:asciiTheme="majorHAnsi" w:hAnsiTheme="majorHAnsi" w:cs="Times New Roman"/>
          <w:b/>
          <w:bCs/>
          <w:sz w:val="22"/>
          <w:szCs w:val="22"/>
        </w:rPr>
        <w:t>vilkår for når en ytelseserklæring for byggevarer kan gjøres tilgjengelig på et nettsted</w:t>
      </w:r>
    </w:p>
    <w:bookmarkEnd w:id="0"/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0D1421">
        <w:rPr>
          <w:rFonts w:asciiTheme="majorHAnsi" w:hAnsiTheme="majorHAnsi" w:cs="Times New Roman"/>
          <w:sz w:val="22"/>
          <w:szCs w:val="22"/>
        </w:rPr>
        <w:t>EUROPAKOMMISJONEN</w:t>
      </w:r>
      <w:proofErr w:type="spellEnd"/>
      <w:r w:rsidRPr="000D1421">
        <w:rPr>
          <w:rFonts w:asciiTheme="majorHAnsi" w:hAnsiTheme="majorHAnsi" w:cs="Times New Roman"/>
          <w:sz w:val="22"/>
          <w:szCs w:val="22"/>
        </w:rPr>
        <w:t xml:space="preserve"> HAR —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under henvisning til traktaten om Den Europeiske Unions virkemåte,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under henvisning til Europaparlamentets og Rådets forordning (EU) nr. 305/2011 av 9. mars 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2011 om fastsettelse av harmoniserte betingelser for markedsføring av byggevarer og 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sz w:val="22"/>
          <w:szCs w:val="22"/>
        </w:rPr>
        <w:t>om opphevelse av Rådets direktiv 89/106/EØF</w:t>
      </w:r>
      <w:r w:rsidRPr="000D1421">
        <w:rPr>
          <w:rFonts w:asciiTheme="majorHAnsi" w:hAnsiTheme="majorHAnsi" w:cs="Times New Roman"/>
          <w:sz w:val="22"/>
          <w:szCs w:val="22"/>
          <w:u w:color="0000E9"/>
        </w:rPr>
        <w:t>, særlig artikkel 7(3), sammenholdt med artikkel 60, litra b), og ut fra følgende betraktninger: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61"/>
        <w:gridCol w:w="8821"/>
      </w:tblGrid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(1)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Produsent av byggevarer er i henhold til artikkel 4(1), i forordning (EU) nr. 305/2011 forpliktet til å utarbeide en ytelseserklæring for byggevarer, som er omfattet av en harmonisert produktstandard eller stemmer overens med en europeisk teknisk bedømmelse som er blitt utstedt for den, bringes i omsetning. </w:t>
            </w:r>
          </w:p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Kopi av denne ytelseserklæringen skal gis enten i papirform eller elektronisk.</w:t>
            </w:r>
          </w:p>
        </w:tc>
      </w:tr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(2)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Kommisjonen tillegges i over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ensstemmelse med artikkel 7(3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), og artikkel 60, litra b), i forordning (EU) nr. 305/2011 myndighet til å fastsette vilkår for den elektroniske behandlingen av ytelseserklæringer, slik at disse kan gjøres tilgjengelig på et nettsted. Disse vilkårene for tilgjengeliggjøring av ytelseserklæringer på nettet gjør det mulig å bruke nye informasjonsteknologier og redusere kostnader til byggevareprodusenter og hele byggesektoren.</w:t>
            </w:r>
          </w:p>
        </w:tc>
      </w:tr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(3)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Idet det tas hensyn til eventuelle sær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lige behov som gjelder for mottakere av byggevarer, herunder især mikrovirksomhet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er og virksomheter som opererer på byggeplassen uten internettilgang, bør denne delegerte rettsakt ikke utvides til å utgjøre unntak fra artikkel 7.2 i forordning (EU) nr. 305/2011.</w:t>
            </w:r>
          </w:p>
        </w:tc>
      </w:tr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(4)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For å sikre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 at den elektroniske utgaven av ytelseserklæring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en, som svarer til en bestemt vare, lett kan identifiseres, skal produsentene koble hver enkelt byggevare eller parti av samme byggevare, som de bringer i omsetning, til en gitt ytelseserklæring ved hjelp av den unike identifikasjonskoden for varens produkttype, som i henhold til vedlegg III til forordning (EU) nr. 305/2011 skal være nevnt i</w:t>
            </w:r>
          </w:p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ytelseserklæringen.</w:t>
            </w:r>
          </w:p>
        </w:tc>
      </w:tr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(5)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For å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 lette den administrative byrden forbundet med 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ytelseserklæringens innhold, og samtidig sikre den uavbrutte påliteligheten av de opplysningene som angis i slike ytelseserklæringer, må den elektroniske utgaven av ytelseserklæringen ikke endres etter at den er gjort tilgjengelig på et nettsted, og den skal forbli tilgjengelig i en periode på minst ti år etter at byggevaren er brakt i omsetning eller en annen periode </w:t>
            </w:r>
          </w:p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som måtte finnes anvendelse i henhold til artikkel 11(2), andre avsnitt i forordning (EU) nr. 305/2011.</w:t>
            </w:r>
          </w:p>
        </w:tc>
      </w:tr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(6)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Det nettstedet, som ytelseserklæringen gjøres tilgj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engelig på, skal overvåkes og vedlikeholdes for at det i størst mul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ig grad kan sikres at nettstedet til stadighet er tilgjengelig og ikke blir utilgjengelig som følge av teknisk funksjonssvikt.</w:t>
            </w:r>
          </w:p>
        </w:tc>
      </w:tr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(7)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Det nettstedet, som ytelseserklæringen gjøres tilgjengeli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g på, skal være gratis  tilgjengelig for mottakere av byggevarer. D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isse mottakere skal ha anvisninger om hvordan de kan få tilgang til nettstedet og den elektroniske utgaven av ytelseserklæringen.</w:t>
            </w:r>
          </w:p>
        </w:tc>
      </w:tr>
      <w:tr w:rsidR="00F836F9" w:rsidRPr="000D1421" w:rsidTr="008E1D9D">
        <w:tc>
          <w:tcPr>
            <w:tcW w:w="231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(8)</w:t>
            </w:r>
          </w:p>
        </w:tc>
        <w:tc>
          <w:tcPr>
            <w:tcW w:w="4769" w:type="pct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For å øke hele den europeiske byggesektors 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effektivitet og konkurranseevne bør virksomheter, som utarbeider ytelseserklær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inger, og som ønsker å anvende den nye informasjonsteknologien for å lette tilgjengeliggjøring av slike erklæringer, ha mulighet til å gjøre dette snarest mulig —</w:t>
            </w:r>
          </w:p>
        </w:tc>
      </w:tr>
    </w:tbl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</w:p>
    <w:p w:rsidR="00F836F9" w:rsidRPr="000D7B1C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  <w:r w:rsidRPr="003653B1">
        <w:rPr>
          <w:rFonts w:asciiTheme="majorHAnsi" w:hAnsiTheme="majorHAnsi" w:cs="Times New Roman"/>
          <w:sz w:val="22"/>
          <w:szCs w:val="22"/>
          <w:u w:color="0000E9"/>
        </w:rPr>
        <w:t>VEDT</w:t>
      </w:r>
      <w:r w:rsidRPr="000D7B1C">
        <w:rPr>
          <w:rFonts w:asciiTheme="majorHAnsi" w:hAnsiTheme="majorHAnsi" w:cs="Times New Roman"/>
          <w:sz w:val="22"/>
          <w:szCs w:val="22"/>
          <w:u w:color="0000E9"/>
        </w:rPr>
        <w:t>ATT DENNE FORORDNING: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i/>
          <w:iCs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i/>
          <w:iCs/>
          <w:sz w:val="22"/>
          <w:szCs w:val="22"/>
          <w:u w:color="0000E9"/>
        </w:rPr>
        <w:t>Artikkel 1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sz w:val="22"/>
          <w:szCs w:val="22"/>
          <w:u w:color="0000E9"/>
        </w:rPr>
        <w:lastRenderedPageBreak/>
        <w:t>1.   Virksomheter kan i samsvar med unntak i artikkel 7(1) i forordning (EU) nr. 305/2011 gjøre en ytelseserklæring som omhandlet i artikkel 4(1) i forordning (EU) nr. 305/2011 tilgjengelig på et nettsted, forutsatt at de oppfyller alle følgende vilkårene:</w:t>
      </w:r>
    </w:p>
    <w:tbl>
      <w:tblPr>
        <w:tblW w:w="185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7800"/>
      </w:tblGrid>
      <w:tr w:rsidR="00F836F9" w:rsidRPr="000D1421" w:rsidTr="008E1D9D">
        <w:tc>
          <w:tcPr>
            <w:tcW w:w="76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a)</w:t>
            </w:r>
          </w:p>
        </w:tc>
        <w:tc>
          <w:tcPr>
            <w:tcW w:w="1780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De sikrer at innholdet i ytelseserklæringen ikke endres etter at den er gjort tilgjengelig på nettstedet.</w:t>
            </w:r>
          </w:p>
        </w:tc>
      </w:tr>
      <w:tr w:rsidR="00F836F9" w:rsidRPr="000D1421" w:rsidTr="008E1D9D">
        <w:tc>
          <w:tcPr>
            <w:tcW w:w="76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b)</w:t>
            </w:r>
          </w:p>
        </w:tc>
        <w:tc>
          <w:tcPr>
            <w:tcW w:w="1780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De sikrer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 at det nettstedet, som ytelseserklæringene for byggevarer er gjort tilgjengelig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 på, overvåkes og </w:t>
            </w:r>
          </w:p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vedlikeholdes, slik at nettstedet og ytelseserklæringene til stadighet er tilgjengelige for mottakere av byggevarer.</w:t>
            </w:r>
          </w:p>
        </w:tc>
      </w:tr>
      <w:tr w:rsidR="00F836F9" w:rsidRPr="000D1421" w:rsidTr="008E1D9D">
        <w:tc>
          <w:tcPr>
            <w:tcW w:w="76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c)</w:t>
            </w:r>
          </w:p>
        </w:tc>
        <w:tc>
          <w:tcPr>
            <w:tcW w:w="1780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De sikrer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 at mottakere av byggevarer kan få gratis adgang til ytelseserklæringe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ne i en periode på ti år, </w:t>
            </w:r>
          </w:p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etter at byggevaren er bragt i omsetning, eller en annen periode som måtte finnes anvendelse i samsvar med </w:t>
            </w:r>
          </w:p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artikkel 11(2), andre avsnitt, i forordning (EU) nr. 305/2011.</w:t>
            </w:r>
          </w:p>
        </w:tc>
      </w:tr>
      <w:tr w:rsidR="00F836F9" w:rsidRPr="000D1421" w:rsidTr="008E1D9D">
        <w:tc>
          <w:tcPr>
            <w:tcW w:w="76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d)</w:t>
            </w:r>
          </w:p>
        </w:tc>
        <w:tc>
          <w:tcPr>
            <w:tcW w:w="1780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3653B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De gir</w:t>
            </w:r>
            <w:r w:rsidRPr="000D7B1C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 mottakerne av byggevarer anvisninger om hvordan de kan få adgan</w:t>
            </w: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 xml:space="preserve">g til nettstedet og de </w:t>
            </w:r>
          </w:p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  <w:u w:color="0000E9"/>
              </w:rPr>
              <w:t>ytelseserklæringene som er utarbeidet for slike varer og gjort tilgjengelige på nettstedet.</w:t>
            </w:r>
          </w:p>
        </w:tc>
      </w:tr>
      <w:tr w:rsidR="00F836F9" w:rsidRPr="000D1421" w:rsidTr="008E1D9D">
        <w:tc>
          <w:tcPr>
            <w:tcW w:w="760" w:type="dxa"/>
          </w:tcPr>
          <w:p w:rsidR="00F836F9" w:rsidRPr="000D142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</w:p>
        </w:tc>
        <w:tc>
          <w:tcPr>
            <w:tcW w:w="17800" w:type="dxa"/>
          </w:tcPr>
          <w:p w:rsidR="00F836F9" w:rsidRPr="003653B1" w:rsidRDefault="00F836F9" w:rsidP="008E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  <w:u w:color="0000E9"/>
              </w:rPr>
            </w:pPr>
          </w:p>
        </w:tc>
      </w:tr>
    </w:tbl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sz w:val="22"/>
          <w:szCs w:val="22"/>
          <w:u w:color="0000E9"/>
        </w:rPr>
        <w:t>2.  </w:t>
      </w:r>
      <w:r w:rsidRPr="003653B1">
        <w:rPr>
          <w:rFonts w:asciiTheme="majorHAnsi" w:hAnsiTheme="majorHAnsi" w:cs="Times New Roman"/>
          <w:sz w:val="22"/>
          <w:szCs w:val="22"/>
          <w:u w:color="0000E9"/>
        </w:rPr>
        <w:t>Produsenter s</w:t>
      </w:r>
      <w:r w:rsidRPr="000D7B1C">
        <w:rPr>
          <w:rFonts w:asciiTheme="majorHAnsi" w:hAnsiTheme="majorHAnsi" w:cs="Times New Roman"/>
          <w:sz w:val="22"/>
          <w:szCs w:val="22"/>
          <w:u w:color="0000E9"/>
        </w:rPr>
        <w:t>ikrer at hver enkelt vare eller parti av</w:t>
      </w:r>
      <w:r w:rsidRPr="000D1421">
        <w:rPr>
          <w:rFonts w:asciiTheme="majorHAnsi" w:hAnsiTheme="majorHAnsi" w:cs="Times New Roman"/>
          <w:sz w:val="22"/>
          <w:szCs w:val="22"/>
          <w:u w:color="0000E9"/>
        </w:rPr>
        <w:t xml:space="preserve"> samme vare som de bringer i omsetning er knyttet til en gitt ytelseserklæring ved hjelp av den unike identifikasjonskoden for produkttypen.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i/>
          <w:iCs/>
          <w:sz w:val="22"/>
          <w:szCs w:val="22"/>
          <w:u w:color="0000E9"/>
        </w:rPr>
      </w:pP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i/>
          <w:iCs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i/>
          <w:iCs/>
          <w:sz w:val="22"/>
          <w:szCs w:val="22"/>
          <w:u w:color="0000E9"/>
        </w:rPr>
        <w:t>Artikkel 2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sz w:val="22"/>
          <w:szCs w:val="22"/>
          <w:u w:color="0000E9"/>
        </w:rPr>
        <w:t xml:space="preserve">Denne forordning trer i kraft denne tredjedagen etter at den er kunngjort i </w:t>
      </w:r>
      <w:r w:rsidRPr="000D1421">
        <w:rPr>
          <w:rFonts w:asciiTheme="majorHAnsi" w:hAnsiTheme="majorHAnsi" w:cs="Times New Roman"/>
          <w:i/>
          <w:iCs/>
          <w:sz w:val="22"/>
          <w:szCs w:val="22"/>
          <w:u w:color="0000E9"/>
        </w:rPr>
        <w:t>Den Europeiske Unions Tidende</w:t>
      </w:r>
      <w:r w:rsidRPr="000D1421">
        <w:rPr>
          <w:rFonts w:asciiTheme="majorHAnsi" w:hAnsiTheme="majorHAnsi" w:cs="Times New Roman"/>
          <w:sz w:val="22"/>
          <w:szCs w:val="22"/>
          <w:u w:color="0000E9"/>
        </w:rPr>
        <w:t>.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sz w:val="22"/>
          <w:szCs w:val="22"/>
        </w:rPr>
        <w:t>Denne forordning er bindende i alle deler og kommer direkte til anvendelse i alle medlemsstater.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sz w:val="22"/>
          <w:szCs w:val="22"/>
          <w:u w:color="0000E9"/>
        </w:rPr>
        <w:t>Utferdiget i Bruxelles, den 30. oktober 2013.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u w:color="0000E9"/>
        </w:rPr>
      </w:pP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80"/>
        <w:jc w:val="center"/>
        <w:rPr>
          <w:rFonts w:asciiTheme="majorHAnsi" w:hAnsiTheme="majorHAnsi" w:cs="Times New Roman"/>
          <w:i/>
          <w:iCs/>
          <w:sz w:val="22"/>
          <w:szCs w:val="22"/>
          <w:u w:color="0000E9"/>
        </w:rPr>
      </w:pP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80"/>
        <w:jc w:val="center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i/>
          <w:iCs/>
          <w:sz w:val="22"/>
          <w:szCs w:val="22"/>
          <w:u w:color="0000E9"/>
        </w:rPr>
        <w:t>På Kommisjonens vegne</w:t>
      </w:r>
    </w:p>
    <w:p w:rsidR="00F836F9" w:rsidRPr="000D1421" w:rsidRDefault="00F836F9" w:rsidP="00F836F9">
      <w:pPr>
        <w:widowControl w:val="0"/>
        <w:autoSpaceDE w:val="0"/>
        <w:autoSpaceDN w:val="0"/>
        <w:adjustRightInd w:val="0"/>
        <w:spacing w:after="80"/>
        <w:jc w:val="center"/>
        <w:rPr>
          <w:rFonts w:asciiTheme="majorHAnsi" w:hAnsiTheme="majorHAnsi" w:cs="Times New Roman"/>
          <w:sz w:val="22"/>
          <w:szCs w:val="22"/>
          <w:u w:color="0000E9"/>
        </w:rPr>
      </w:pPr>
      <w:r w:rsidRPr="000D1421">
        <w:rPr>
          <w:rFonts w:asciiTheme="majorHAnsi" w:hAnsiTheme="majorHAnsi" w:cs="Times New Roman"/>
          <w:sz w:val="22"/>
          <w:szCs w:val="22"/>
          <w:u w:color="0000E9"/>
        </w:rPr>
        <w:t xml:space="preserve">José Manuel </w:t>
      </w:r>
      <w:proofErr w:type="spellStart"/>
      <w:r w:rsidRPr="000D1421">
        <w:rPr>
          <w:rFonts w:asciiTheme="majorHAnsi" w:hAnsiTheme="majorHAnsi" w:cs="Times New Roman"/>
          <w:sz w:val="22"/>
          <w:szCs w:val="22"/>
          <w:u w:color="0000E9"/>
        </w:rPr>
        <w:t>BARROSO</w:t>
      </w:r>
      <w:proofErr w:type="spellEnd"/>
    </w:p>
    <w:p w:rsidR="00F836F9" w:rsidRPr="000D1421" w:rsidRDefault="00F836F9" w:rsidP="00F836F9">
      <w:pPr>
        <w:jc w:val="center"/>
        <w:rPr>
          <w:rFonts w:asciiTheme="majorHAnsi" w:hAnsiTheme="majorHAnsi"/>
          <w:sz w:val="22"/>
          <w:szCs w:val="22"/>
        </w:rPr>
      </w:pPr>
      <w:r w:rsidRPr="000D1421">
        <w:rPr>
          <w:rFonts w:asciiTheme="majorHAnsi" w:hAnsiTheme="majorHAnsi" w:cs="Times New Roman"/>
          <w:i/>
          <w:iCs/>
          <w:sz w:val="22"/>
          <w:szCs w:val="22"/>
          <w:u w:color="0000E9"/>
        </w:rPr>
        <w:t>Formann</w:t>
      </w:r>
    </w:p>
    <w:p w:rsidR="00F836F9" w:rsidRPr="000D1421" w:rsidRDefault="00F836F9" w:rsidP="00F836F9">
      <w:pPr>
        <w:pStyle w:val="Overskrift2"/>
        <w:rPr>
          <w:lang w:eastAsia="en-US"/>
        </w:rPr>
      </w:pPr>
    </w:p>
    <w:p w:rsidR="00A26A18" w:rsidRDefault="00A26A18"/>
    <w:sectPr w:rsidR="00A26A18" w:rsidSect="00A26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9"/>
    <w:rsid w:val="00A26A18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F10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F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3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F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3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4304</Characters>
  <Application>Microsoft Macintosh Word</Application>
  <DocSecurity>0</DocSecurity>
  <Lines>35</Lines>
  <Paragraphs>10</Paragraphs>
  <ScaleCrop>false</ScaleCrop>
  <Company>Statens Bygningstekniske Etat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Veulemans</dc:creator>
  <cp:keywords/>
  <dc:description/>
  <cp:lastModifiedBy>Mathieu Veulemans</cp:lastModifiedBy>
  <cp:revision>1</cp:revision>
  <dcterms:created xsi:type="dcterms:W3CDTF">2014-10-13T12:57:00Z</dcterms:created>
  <dcterms:modified xsi:type="dcterms:W3CDTF">2014-10-13T12:57:00Z</dcterms:modified>
</cp:coreProperties>
</file>